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Министру общего и профессионального образования Ростовской области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Ф.И.О.)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Ф.И.О., замещаемая должность)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возникновении личной </w:t>
        <w:br/>
        <w:t xml:space="preserve">заинтересованности при исполнении должностных </w:t>
        <w:br/>
        <w:t xml:space="preserve">обязанностей, которая приводит или может привести к конфликту 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(нужное подчеркнуть).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Обстоятельства, являющиеся основанием возникновения личной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заинтересованности: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 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общего </w:t>
        <w:br/>
        <w:t xml:space="preserve">и профессионального образования Ростовской области, руководителей государственных учреждений, подведомственных министерству общего </w:t>
        <w:br/>
        <w:t xml:space="preserve">и профессионального образования Ростовской области, и урегулированию конфликта интересов при рассмотрении настоящего уведомления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(нужное подчеркнуть).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лица, (расшифровка подписи) </w:t>
        <w:br/>
        <w:t xml:space="preserve">направляющего уведомление)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